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60C88" w14:textId="521AEF98" w:rsidR="003F6133" w:rsidRPr="003F6133" w:rsidRDefault="003F6133" w:rsidP="00293B53">
      <w:pPr>
        <w:snapToGrid w:val="0"/>
      </w:pPr>
      <w:r>
        <w:t xml:space="preserve">ICWRER </w:t>
      </w:r>
      <w:r w:rsidRPr="003F6133">
        <w:t>Special Session Proposal</w:t>
      </w:r>
    </w:p>
    <w:p w14:paraId="29D077A6" w14:textId="6E668E94" w:rsidR="003F6133" w:rsidRDefault="003F6133" w:rsidP="00293B53">
      <w:pPr>
        <w:snapToGrid w:val="0"/>
      </w:pPr>
      <w:r>
        <w:t xml:space="preserve">2022 </w:t>
      </w:r>
      <w:r>
        <w:rPr>
          <w:rFonts w:hint="eastAsia"/>
        </w:rPr>
        <w:t>Inter</w:t>
      </w:r>
      <w:r>
        <w:t>national Conference on Water Resources and Environment Research (ICWRER)</w:t>
      </w:r>
    </w:p>
    <w:p w14:paraId="6F78C756" w14:textId="18C84FB0" w:rsidR="003F6133" w:rsidRDefault="003F6133" w:rsidP="00293B53">
      <w:pPr>
        <w:snapToGrid w:val="0"/>
      </w:pPr>
    </w:p>
    <w:p w14:paraId="57A5D805" w14:textId="0699B014" w:rsidR="00EB6B7E" w:rsidRDefault="00CA49A1" w:rsidP="00293B53">
      <w:pPr>
        <w:snapToGrid w:val="0"/>
      </w:pPr>
      <w:r>
        <w:rPr>
          <w:rFonts w:hint="eastAsia"/>
          <w:b/>
          <w:bCs/>
        </w:rPr>
        <w:t>Special</w:t>
      </w:r>
      <w:r>
        <w:rPr>
          <w:b/>
          <w:bCs/>
        </w:rPr>
        <w:t xml:space="preserve"> </w:t>
      </w:r>
      <w:r w:rsidR="00EB6B7E" w:rsidRPr="00631850">
        <w:rPr>
          <w:b/>
          <w:bCs/>
        </w:rPr>
        <w:t>Session Title</w:t>
      </w:r>
    </w:p>
    <w:p w14:paraId="451D03F2" w14:textId="77777777" w:rsidR="009E3CBF" w:rsidRPr="009E3CBF" w:rsidRDefault="009E3CBF" w:rsidP="009E3CBF">
      <w:pPr>
        <w:snapToGrid w:val="0"/>
        <w:spacing w:after="160"/>
        <w:rPr>
          <w:b/>
          <w:i/>
        </w:rPr>
      </w:pPr>
      <w:r w:rsidRPr="009E3CBF">
        <w:rPr>
          <w:b/>
          <w:i/>
        </w:rPr>
        <w:t>Conflict Resolution for Complex Water Resources and Environmental Systems</w:t>
      </w:r>
    </w:p>
    <w:p w14:paraId="41648DD4" w14:textId="3BCB5BC3" w:rsidR="00EB6B7E" w:rsidRDefault="00EB6B7E" w:rsidP="00293B53">
      <w:pPr>
        <w:snapToGrid w:val="0"/>
      </w:pPr>
    </w:p>
    <w:p w14:paraId="038C1159" w14:textId="52089C79" w:rsidR="00EB6B7E" w:rsidRDefault="00EB6B7E" w:rsidP="00293B53">
      <w:pPr>
        <w:snapToGrid w:val="0"/>
        <w:spacing w:line="240" w:lineRule="exact"/>
        <w:rPr>
          <w:b/>
          <w:bCs/>
        </w:rPr>
      </w:pPr>
      <w:r w:rsidRPr="00631850">
        <w:rPr>
          <w:b/>
          <w:bCs/>
        </w:rPr>
        <w:t>Session Organizer</w:t>
      </w:r>
    </w:p>
    <w:p w14:paraId="2F67A8FF" w14:textId="77777777" w:rsidR="00E528A4" w:rsidRDefault="00E528A4" w:rsidP="00293B53">
      <w:pPr>
        <w:snapToGrid w:val="0"/>
        <w:spacing w:line="240" w:lineRule="exact"/>
        <w:rPr>
          <w:b/>
          <w:bCs/>
        </w:rPr>
      </w:pPr>
    </w:p>
    <w:p w14:paraId="4F0FE502" w14:textId="0494B400" w:rsidR="00E44C4E" w:rsidRDefault="009E3CBF" w:rsidP="00293B53">
      <w:pPr>
        <w:snapToGrid w:val="0"/>
        <w:spacing w:line="240" w:lineRule="exact"/>
        <w:rPr>
          <w:b/>
          <w:bCs/>
        </w:rPr>
      </w:pPr>
      <w:r>
        <w:rPr>
          <w:b/>
          <w:bCs/>
        </w:rPr>
        <w:t>C</w:t>
      </w:r>
      <w:r w:rsidR="00E44C4E">
        <w:rPr>
          <w:b/>
          <w:bCs/>
        </w:rPr>
        <w:t>hair</w:t>
      </w:r>
    </w:p>
    <w:p w14:paraId="46BCF579" w14:textId="09862593" w:rsidR="009E3CBF" w:rsidRDefault="00414EA0" w:rsidP="009E3CBF">
      <w:pPr>
        <w:snapToGrid w:val="0"/>
      </w:pPr>
      <w:r w:rsidRPr="009E3CBF">
        <w:t xml:space="preserve">Keith W. </w:t>
      </w:r>
      <w:proofErr w:type="spellStart"/>
      <w:r w:rsidRPr="009E3CBF">
        <w:t>Hipel</w:t>
      </w:r>
      <w:proofErr w:type="spellEnd"/>
      <w:r w:rsidRPr="009E3CBF">
        <w:t xml:space="preserve"> (University of Waterloo, Canada; kwhipel@uwaterloo.ca)  </w:t>
      </w:r>
    </w:p>
    <w:p w14:paraId="73902DC9" w14:textId="77777777" w:rsidR="00E528A4" w:rsidRDefault="00E528A4" w:rsidP="009E3CBF">
      <w:pPr>
        <w:snapToGrid w:val="0"/>
      </w:pPr>
    </w:p>
    <w:p w14:paraId="5033E5D4" w14:textId="7D3973A6" w:rsidR="00E528A4" w:rsidRPr="00E528A4" w:rsidRDefault="00E528A4" w:rsidP="00E528A4">
      <w:pPr>
        <w:snapToGrid w:val="0"/>
        <w:spacing w:line="240" w:lineRule="exact"/>
        <w:rPr>
          <w:b/>
          <w:bCs/>
        </w:rPr>
      </w:pPr>
      <w:r>
        <w:rPr>
          <w:b/>
          <w:bCs/>
        </w:rPr>
        <w:t>Co-Chair</w:t>
      </w:r>
    </w:p>
    <w:p w14:paraId="3D36A993" w14:textId="7A5C1F23" w:rsidR="00E528A4" w:rsidRDefault="00414EA0" w:rsidP="009E3CBF">
      <w:pPr>
        <w:snapToGrid w:val="0"/>
      </w:pPr>
      <w:r w:rsidRPr="009E3CBF">
        <w:t>Liping Fang (Ryerson University, Canada; lfang@ryerson.ca)</w:t>
      </w:r>
    </w:p>
    <w:p w14:paraId="7F5E95BC" w14:textId="77777777" w:rsidR="00E528A4" w:rsidRDefault="00E528A4" w:rsidP="009E3CBF">
      <w:pPr>
        <w:snapToGrid w:val="0"/>
      </w:pPr>
    </w:p>
    <w:p w14:paraId="2284B07A" w14:textId="73560E88" w:rsidR="00E528A4" w:rsidRPr="00E528A4" w:rsidRDefault="00E528A4" w:rsidP="00E528A4">
      <w:pPr>
        <w:snapToGrid w:val="0"/>
        <w:spacing w:line="240" w:lineRule="exact"/>
        <w:rPr>
          <w:b/>
          <w:bCs/>
        </w:rPr>
      </w:pPr>
      <w:r>
        <w:rPr>
          <w:b/>
          <w:bCs/>
        </w:rPr>
        <w:t>Co-Chair</w:t>
      </w:r>
    </w:p>
    <w:p w14:paraId="0E5EE3D0" w14:textId="66983C82" w:rsidR="009E3CBF" w:rsidRDefault="009E3CBF" w:rsidP="009E3CBF">
      <w:pPr>
        <w:snapToGrid w:val="0"/>
      </w:pPr>
      <w:r w:rsidRPr="009E3CBF">
        <w:t>Simone Philpot (University of Waterloo, Canada; sphilpot@uwaterloo.ca)</w:t>
      </w:r>
    </w:p>
    <w:p w14:paraId="604C1534" w14:textId="61D65922" w:rsidR="003F6133" w:rsidRDefault="003F6133" w:rsidP="00293B53">
      <w:pPr>
        <w:snapToGrid w:val="0"/>
      </w:pPr>
    </w:p>
    <w:p w14:paraId="7726671B" w14:textId="75AEB091" w:rsidR="003F6133" w:rsidRPr="00631850" w:rsidRDefault="00631850" w:rsidP="00293B53">
      <w:pPr>
        <w:snapToGrid w:val="0"/>
        <w:rPr>
          <w:b/>
          <w:bCs/>
        </w:rPr>
      </w:pPr>
      <w:r w:rsidRPr="00631850">
        <w:rPr>
          <w:b/>
          <w:bCs/>
        </w:rPr>
        <w:t>Session Description</w:t>
      </w:r>
    </w:p>
    <w:p w14:paraId="19A1C82C" w14:textId="2E65C347" w:rsidR="009E3CBF" w:rsidRDefault="009E3CBF" w:rsidP="00024F77">
      <w:pPr>
        <w:widowControl w:val="0"/>
        <w:autoSpaceDE w:val="0"/>
        <w:autoSpaceDN w:val="0"/>
        <w:adjustRightInd w:val="0"/>
        <w:jc w:val="both"/>
        <w:rPr>
          <w:rFonts w:ascii="Times" w:hAnsi="Times" w:cs="Times"/>
          <w:color w:val="000000"/>
        </w:rPr>
      </w:pPr>
      <w:r>
        <w:rPr>
          <w:rFonts w:ascii="Times" w:hAnsi="Times" w:cs="Times"/>
          <w:color w:val="000000"/>
        </w:rPr>
        <w:t>Achieving long-term sustainable development requires focused attention on the co</w:t>
      </w:r>
      <w:r>
        <w:rPr>
          <w:rFonts w:ascii="Times" w:hAnsi="Times" w:cs="Times" w:hint="eastAsia"/>
          <w:color w:val="000000"/>
        </w:rPr>
        <w:t>ordinated</w:t>
      </w:r>
      <w:r>
        <w:rPr>
          <w:rFonts w:ascii="Times" w:hAnsi="Times" w:cs="Times"/>
          <w:color w:val="000000"/>
        </w:rPr>
        <w:t xml:space="preserve"> management of societal and environmental systems. Interdisciplinary solutions are needed to support responsible governance aimed at maximizing the benefits gained by society from a range of activities, such as agricultural and industrial production, while proactively minimizing their negative impacts on the environment. Informative decision technologies, such as conflict resolution and multiple objective decision making (ex. preference modeling in multiple criteria decision analysis), are required to effectively address many serious </w:t>
      </w:r>
      <w:r w:rsidRPr="00F8664F">
        <w:t xml:space="preserve">controversies </w:t>
      </w:r>
      <w:r>
        <w:rPr>
          <w:rFonts w:ascii="Times" w:hAnsi="Times" w:cs="Times"/>
          <w:color w:val="000000"/>
        </w:rPr>
        <w:t>arising over the utilization of our valuable water and natural</w:t>
      </w:r>
      <w:r w:rsidRPr="000509E1">
        <w:rPr>
          <w:rFonts w:ascii="Times" w:hAnsi="Times" w:cs="Times"/>
          <w:color w:val="000000"/>
        </w:rPr>
        <w:t xml:space="preserve"> </w:t>
      </w:r>
      <w:r>
        <w:rPr>
          <w:rFonts w:ascii="Times" w:hAnsi="Times" w:cs="Times"/>
          <w:color w:val="000000"/>
        </w:rPr>
        <w:t xml:space="preserve">resources for economic and other purposes within a </w:t>
      </w:r>
      <w:proofErr w:type="gramStart"/>
      <w:r>
        <w:rPr>
          <w:rFonts w:ascii="Times" w:hAnsi="Times" w:cs="Times"/>
          <w:color w:val="000000"/>
        </w:rPr>
        <w:t>complex systems of systems</w:t>
      </w:r>
      <w:proofErr w:type="gramEnd"/>
      <w:r>
        <w:rPr>
          <w:rFonts w:ascii="Times" w:hAnsi="Times" w:cs="Times"/>
          <w:color w:val="000000"/>
        </w:rPr>
        <w:t xml:space="preserve"> engineering context.</w:t>
      </w:r>
    </w:p>
    <w:p w14:paraId="11014919" w14:textId="77777777" w:rsidR="00E528A4" w:rsidRPr="00BA0474" w:rsidRDefault="00E528A4" w:rsidP="00024F77">
      <w:pPr>
        <w:widowControl w:val="0"/>
        <w:autoSpaceDE w:val="0"/>
        <w:autoSpaceDN w:val="0"/>
        <w:adjustRightInd w:val="0"/>
        <w:jc w:val="both"/>
        <w:rPr>
          <w:rFonts w:ascii="Times" w:hAnsi="Times" w:cs="Times"/>
          <w:color w:val="000000"/>
        </w:rPr>
      </w:pPr>
    </w:p>
    <w:p w14:paraId="064CAFF2" w14:textId="77777777" w:rsidR="00FB3B54" w:rsidRDefault="009E3CBF" w:rsidP="00024F77">
      <w:pPr>
        <w:jc w:val="both"/>
      </w:pPr>
      <w:r>
        <w:t>A s</w:t>
      </w:r>
      <w:r w:rsidRPr="00F8664F">
        <w:t xml:space="preserve">pecial </w:t>
      </w:r>
      <w:r>
        <w:t>track of sessions</w:t>
      </w:r>
      <w:r w:rsidRPr="00F8664F">
        <w:t xml:space="preserve"> on conflict resolution</w:t>
      </w:r>
      <w:r>
        <w:t xml:space="preserve"> will establish</w:t>
      </w:r>
      <w:r w:rsidRPr="00F8664F">
        <w:t xml:space="preserve"> a forum for </w:t>
      </w:r>
      <w:r>
        <w:t>discussing</w:t>
      </w:r>
      <w:r w:rsidRPr="00F8664F">
        <w:t xml:space="preserve"> </w:t>
      </w:r>
      <w:r>
        <w:t>and disseminating recent advances</w:t>
      </w:r>
      <w:r w:rsidRPr="00F8664F">
        <w:t xml:space="preserve"> in the development and application of </w:t>
      </w:r>
      <w:r>
        <w:t>conflict resolution</w:t>
      </w:r>
      <w:r w:rsidRPr="00F8664F">
        <w:t xml:space="preserve"> methods </w:t>
      </w:r>
      <w:r>
        <w:rPr>
          <w:rFonts w:ascii="Times" w:hAnsi="Times" w:cs="Times"/>
          <w:color w:val="000000"/>
        </w:rPr>
        <w:t>(ex. meaningful expansions of the Graph Model for Conflict Resolution)</w:t>
      </w:r>
      <w:r>
        <w:t xml:space="preserve"> for finding interdisciplinary solutions to challenges arising in complex water resources and environmental systems</w:t>
      </w:r>
      <w:r w:rsidRPr="00F8664F">
        <w:t xml:space="preserve">. </w:t>
      </w:r>
    </w:p>
    <w:p w14:paraId="62901DA2" w14:textId="77777777" w:rsidR="00FB3B54" w:rsidRDefault="00FB3B54" w:rsidP="00024F77">
      <w:pPr>
        <w:jc w:val="both"/>
      </w:pPr>
    </w:p>
    <w:p w14:paraId="7946DFCF" w14:textId="47069508" w:rsidR="00024F77" w:rsidRDefault="00024F77" w:rsidP="00024F77">
      <w:pPr>
        <w:jc w:val="both"/>
      </w:pPr>
      <w:r>
        <w:t>T</w:t>
      </w:r>
      <w:r w:rsidR="009E3CBF" w:rsidRPr="00F8664F">
        <w:t xml:space="preserve">opics </w:t>
      </w:r>
      <w:r w:rsidR="009E3CBF">
        <w:t xml:space="preserve">within this overall theme </w:t>
      </w:r>
      <w:r w:rsidR="009E3CBF" w:rsidRPr="00F8664F">
        <w:t xml:space="preserve">include the formal investigation of </w:t>
      </w:r>
      <w:r w:rsidR="009E3CBF">
        <w:rPr>
          <w:rFonts w:ascii="Times" w:hAnsi="Times" w:cs="Times"/>
          <w:color w:val="000000"/>
        </w:rPr>
        <w:t xml:space="preserve">disputes </w:t>
      </w:r>
      <w:r w:rsidR="009E3CBF" w:rsidRPr="00F8664F">
        <w:t xml:space="preserve">arising over water quantity and quality issues such as the fair allocation of scarce water resources, utilization of water in energy production, impacts of climate change, carbon trading and taxation, exportation of water in bulk quantities, widespread water pollution, and compliance to environmental regulations. Authors wishing to participate in </w:t>
      </w:r>
      <w:r w:rsidR="009E3CBF">
        <w:t>this session</w:t>
      </w:r>
      <w:r w:rsidR="009E3CBF" w:rsidRPr="00F8664F">
        <w:t xml:space="preserve"> should indicate </w:t>
      </w:r>
      <w:r w:rsidR="009E3CBF">
        <w:t xml:space="preserve">their desire to be included in this Conflict Resolution session </w:t>
      </w:r>
      <w:r w:rsidR="009E3CBF" w:rsidRPr="00F8664F">
        <w:t xml:space="preserve">when </w:t>
      </w:r>
      <w:r w:rsidR="009E3CBF">
        <w:t>they submit their abstracts</w:t>
      </w:r>
      <w:r w:rsidR="009E3CBF" w:rsidRPr="00F8664F">
        <w:t xml:space="preserve">. </w:t>
      </w:r>
    </w:p>
    <w:p w14:paraId="264EB43D" w14:textId="6AA33824" w:rsidR="00024F77" w:rsidRDefault="00024F77" w:rsidP="00024F77">
      <w:pPr>
        <w:jc w:val="both"/>
      </w:pPr>
    </w:p>
    <w:p w14:paraId="12ADBE2F" w14:textId="795DF070" w:rsidR="00E528A4" w:rsidRDefault="00E528A4" w:rsidP="00024F77">
      <w:pPr>
        <w:jc w:val="both"/>
      </w:pPr>
    </w:p>
    <w:p w14:paraId="23DDE6E9" w14:textId="12F0339E" w:rsidR="00E528A4" w:rsidRDefault="00E528A4" w:rsidP="00024F77">
      <w:pPr>
        <w:jc w:val="both"/>
      </w:pPr>
    </w:p>
    <w:p w14:paraId="23F8E601" w14:textId="1E9C7148" w:rsidR="00E528A4" w:rsidRDefault="00E528A4" w:rsidP="00024F77">
      <w:pPr>
        <w:jc w:val="both"/>
      </w:pPr>
    </w:p>
    <w:p w14:paraId="72B2A47B" w14:textId="77777777" w:rsidR="00E528A4" w:rsidRDefault="00E528A4" w:rsidP="00024F77">
      <w:pPr>
        <w:jc w:val="both"/>
      </w:pPr>
    </w:p>
    <w:p w14:paraId="7D916D6C" w14:textId="79E9C40C" w:rsidR="003C7484" w:rsidRDefault="003C7484" w:rsidP="00293B53">
      <w:pPr>
        <w:snapToGrid w:val="0"/>
        <w:ind w:left="425" w:hangingChars="177" w:hanging="425"/>
        <w:jc w:val="both"/>
        <w:rPr>
          <w:iCs/>
        </w:rPr>
      </w:pPr>
      <w:r>
        <w:rPr>
          <w:rFonts w:hint="eastAsia"/>
          <w:iCs/>
        </w:rPr>
        <w:t>I</w:t>
      </w:r>
      <w:r>
        <w:rPr>
          <w:iCs/>
        </w:rPr>
        <w:t>nvited Speakers:</w:t>
      </w:r>
    </w:p>
    <w:tbl>
      <w:tblPr>
        <w:tblStyle w:val="TableGrid"/>
        <w:tblW w:w="9214" w:type="dxa"/>
        <w:tblInd w:w="-5" w:type="dxa"/>
        <w:tblLayout w:type="fixed"/>
        <w:tblLook w:val="04A0" w:firstRow="1" w:lastRow="0" w:firstColumn="1" w:lastColumn="0" w:noHBand="0" w:noVBand="1"/>
      </w:tblPr>
      <w:tblGrid>
        <w:gridCol w:w="2127"/>
        <w:gridCol w:w="4819"/>
        <w:gridCol w:w="2268"/>
      </w:tblGrid>
      <w:tr w:rsidR="00301415" w:rsidRPr="005E5BD2" w14:paraId="3BDF598D" w14:textId="77777777" w:rsidTr="005E5BD2">
        <w:trPr>
          <w:trHeight w:val="441"/>
        </w:trPr>
        <w:tc>
          <w:tcPr>
            <w:tcW w:w="2127" w:type="dxa"/>
          </w:tcPr>
          <w:p w14:paraId="1D8EE285" w14:textId="6D920F3F" w:rsidR="00301415" w:rsidRPr="005E5BD2" w:rsidRDefault="00301415" w:rsidP="009C1EC0">
            <w:pPr>
              <w:snapToGrid w:val="0"/>
              <w:rPr>
                <w:iCs/>
                <w:sz w:val="22"/>
                <w:szCs w:val="22"/>
              </w:rPr>
            </w:pPr>
            <w:r w:rsidRPr="005E5BD2">
              <w:rPr>
                <w:iCs/>
                <w:sz w:val="22"/>
                <w:szCs w:val="22"/>
              </w:rPr>
              <w:t>Invited Speaker</w:t>
            </w:r>
          </w:p>
        </w:tc>
        <w:tc>
          <w:tcPr>
            <w:tcW w:w="4819" w:type="dxa"/>
          </w:tcPr>
          <w:p w14:paraId="0D94CCBB" w14:textId="7B8F2A6A" w:rsidR="00301415" w:rsidRPr="005E5BD2" w:rsidRDefault="00301415" w:rsidP="009C1EC0">
            <w:pPr>
              <w:snapToGrid w:val="0"/>
              <w:rPr>
                <w:iCs/>
                <w:sz w:val="22"/>
                <w:szCs w:val="22"/>
              </w:rPr>
            </w:pPr>
            <w:r w:rsidRPr="005E5BD2">
              <w:rPr>
                <w:iCs/>
                <w:sz w:val="22"/>
                <w:szCs w:val="22"/>
              </w:rPr>
              <w:t>Affiliation</w:t>
            </w:r>
          </w:p>
        </w:tc>
        <w:tc>
          <w:tcPr>
            <w:tcW w:w="2268" w:type="dxa"/>
          </w:tcPr>
          <w:p w14:paraId="207ECF31" w14:textId="5B09B0E3" w:rsidR="00301415" w:rsidRPr="005E5BD2" w:rsidRDefault="00301415" w:rsidP="009C1EC0">
            <w:pPr>
              <w:snapToGrid w:val="0"/>
              <w:rPr>
                <w:iCs/>
                <w:sz w:val="22"/>
                <w:szCs w:val="22"/>
              </w:rPr>
            </w:pPr>
            <w:r w:rsidRPr="005E5BD2">
              <w:rPr>
                <w:iCs/>
                <w:sz w:val="22"/>
                <w:szCs w:val="22"/>
              </w:rPr>
              <w:t>Presentation Title</w:t>
            </w:r>
          </w:p>
        </w:tc>
      </w:tr>
      <w:tr w:rsidR="00FE02D4" w:rsidRPr="005E5BD2" w14:paraId="495C590D" w14:textId="77777777" w:rsidTr="005E5BD2">
        <w:trPr>
          <w:trHeight w:val="1550"/>
        </w:trPr>
        <w:tc>
          <w:tcPr>
            <w:tcW w:w="2127" w:type="dxa"/>
          </w:tcPr>
          <w:p w14:paraId="2E7FDFC8" w14:textId="72661B08" w:rsidR="00024F77" w:rsidRPr="005E5BD2" w:rsidRDefault="009E3CBF" w:rsidP="00024F77">
            <w:pPr>
              <w:pStyle w:val="Heading1"/>
              <w:spacing w:line="240" w:lineRule="auto"/>
              <w:outlineLvl w:val="0"/>
              <w:rPr>
                <w:b w:val="0"/>
                <w:bCs w:val="0"/>
                <w:iCs/>
                <w:sz w:val="22"/>
                <w:szCs w:val="22"/>
                <w:vertAlign w:val="superscript"/>
              </w:rPr>
            </w:pPr>
            <w:r w:rsidRPr="005E5BD2">
              <w:rPr>
                <w:b w:val="0"/>
                <w:bCs w:val="0"/>
                <w:iCs/>
                <w:sz w:val="22"/>
                <w:szCs w:val="22"/>
              </w:rPr>
              <w:t>Ajar Sh</w:t>
            </w:r>
            <w:r w:rsidR="00024F77" w:rsidRPr="005E5BD2">
              <w:rPr>
                <w:b w:val="0"/>
                <w:bCs w:val="0"/>
                <w:iCs/>
                <w:sz w:val="22"/>
                <w:szCs w:val="22"/>
              </w:rPr>
              <w:t>a</w:t>
            </w:r>
            <w:r w:rsidRPr="005E5BD2">
              <w:rPr>
                <w:b w:val="0"/>
                <w:bCs w:val="0"/>
                <w:iCs/>
                <w:sz w:val="22"/>
                <w:szCs w:val="22"/>
              </w:rPr>
              <w:t>rm</w:t>
            </w:r>
            <w:r w:rsidR="005E5BD2">
              <w:rPr>
                <w:b w:val="0"/>
                <w:bCs w:val="0"/>
                <w:iCs/>
                <w:sz w:val="22"/>
                <w:szCs w:val="22"/>
              </w:rPr>
              <w:t>a</w:t>
            </w:r>
            <w:r w:rsidR="005E5BD2">
              <w:rPr>
                <w:b w:val="0"/>
                <w:bCs w:val="0"/>
                <w:iCs/>
                <w:sz w:val="22"/>
                <w:szCs w:val="22"/>
                <w:vertAlign w:val="superscript"/>
              </w:rPr>
              <w:t>1</w:t>
            </w:r>
          </w:p>
          <w:p w14:paraId="0A22326D" w14:textId="02F9E95B" w:rsidR="009E3CBF" w:rsidRPr="005E5BD2" w:rsidRDefault="009E3CBF" w:rsidP="009E3CBF">
            <w:pPr>
              <w:rPr>
                <w:sz w:val="22"/>
                <w:szCs w:val="22"/>
                <w:vertAlign w:val="superscript"/>
              </w:rPr>
            </w:pPr>
            <w:r w:rsidRPr="005E5BD2">
              <w:rPr>
                <w:sz w:val="22"/>
                <w:szCs w:val="22"/>
              </w:rPr>
              <w:t>Vanessa Schweizer</w:t>
            </w:r>
            <w:r w:rsidR="00024F77" w:rsidRPr="005E5BD2">
              <w:rPr>
                <w:sz w:val="22"/>
                <w:szCs w:val="22"/>
                <w:vertAlign w:val="superscript"/>
              </w:rPr>
              <w:t>2</w:t>
            </w:r>
          </w:p>
          <w:p w14:paraId="778FDEAB" w14:textId="0BEFBA39" w:rsidR="009E3CBF" w:rsidRPr="005E5BD2" w:rsidRDefault="009E3CBF" w:rsidP="009E3CBF">
            <w:pPr>
              <w:rPr>
                <w:sz w:val="22"/>
                <w:szCs w:val="22"/>
                <w:vertAlign w:val="superscript"/>
              </w:rPr>
            </w:pPr>
            <w:r w:rsidRPr="005E5BD2">
              <w:rPr>
                <w:sz w:val="22"/>
                <w:szCs w:val="22"/>
              </w:rPr>
              <w:t>Keith W. Hipel</w:t>
            </w:r>
            <w:r w:rsidR="00024F77" w:rsidRPr="005E5BD2">
              <w:rPr>
                <w:sz w:val="22"/>
                <w:szCs w:val="22"/>
                <w:vertAlign w:val="superscript"/>
              </w:rPr>
              <w:t>3</w:t>
            </w:r>
          </w:p>
        </w:tc>
        <w:tc>
          <w:tcPr>
            <w:tcW w:w="4819" w:type="dxa"/>
          </w:tcPr>
          <w:p w14:paraId="76B7B0F0" w14:textId="26CED3D0" w:rsidR="00E74DD6" w:rsidRPr="005E5BD2" w:rsidRDefault="00024F77" w:rsidP="009E3CBF">
            <w:pPr>
              <w:pStyle w:val="NormalWeb"/>
              <w:spacing w:before="0" w:beforeAutospacing="0" w:after="0" w:afterAutospacing="0"/>
              <w:rPr>
                <w:sz w:val="22"/>
                <w:szCs w:val="22"/>
              </w:rPr>
            </w:pPr>
            <w:r w:rsidRPr="005E5BD2">
              <w:rPr>
                <w:sz w:val="22"/>
                <w:szCs w:val="22"/>
                <w:vertAlign w:val="superscript"/>
              </w:rPr>
              <w:t>1</w:t>
            </w:r>
            <w:r w:rsidR="009E3CBF" w:rsidRPr="005E5BD2">
              <w:rPr>
                <w:sz w:val="22"/>
                <w:szCs w:val="22"/>
              </w:rPr>
              <w:t xml:space="preserve">Knowledge Integration </w:t>
            </w:r>
            <w:r w:rsidR="00E74DD6" w:rsidRPr="005E5BD2">
              <w:rPr>
                <w:sz w:val="22"/>
                <w:szCs w:val="22"/>
              </w:rPr>
              <w:t xml:space="preserve">and </w:t>
            </w:r>
            <w:r w:rsidR="009E3CBF" w:rsidRPr="005E5BD2">
              <w:rPr>
                <w:sz w:val="22"/>
                <w:szCs w:val="22"/>
              </w:rPr>
              <w:t>Systems Design Engineering</w:t>
            </w:r>
            <w:r w:rsidR="00E74DD6" w:rsidRPr="005E5BD2">
              <w:rPr>
                <w:sz w:val="22"/>
                <w:szCs w:val="22"/>
              </w:rPr>
              <w:t xml:space="preserve">, </w:t>
            </w:r>
            <w:r w:rsidR="009E3CBF" w:rsidRPr="005E5BD2">
              <w:rPr>
                <w:sz w:val="22"/>
                <w:szCs w:val="22"/>
              </w:rPr>
              <w:t>University of Waterloo</w:t>
            </w:r>
            <w:r w:rsidR="00E74DD6" w:rsidRPr="005E5BD2">
              <w:rPr>
                <w:sz w:val="22"/>
                <w:szCs w:val="22"/>
              </w:rPr>
              <w:t>, Ontario, Canada</w:t>
            </w:r>
            <w:r w:rsidR="00BF26DC" w:rsidRPr="005E5BD2">
              <w:rPr>
                <w:sz w:val="22"/>
                <w:szCs w:val="22"/>
              </w:rPr>
              <w:t xml:space="preserve"> (a365shar@uwaterloo.ca)</w:t>
            </w:r>
          </w:p>
          <w:p w14:paraId="1ADAF2FC" w14:textId="58DBEEF1" w:rsidR="00E74DD6" w:rsidRPr="005E5BD2" w:rsidRDefault="00024F77" w:rsidP="009E3CBF">
            <w:pPr>
              <w:pStyle w:val="NormalWeb"/>
              <w:spacing w:before="0" w:beforeAutospacing="0" w:after="0" w:afterAutospacing="0"/>
              <w:rPr>
                <w:sz w:val="22"/>
                <w:szCs w:val="22"/>
              </w:rPr>
            </w:pPr>
            <w:r w:rsidRPr="005E5BD2">
              <w:rPr>
                <w:sz w:val="22"/>
                <w:szCs w:val="22"/>
                <w:vertAlign w:val="superscript"/>
              </w:rPr>
              <w:t>2</w:t>
            </w:r>
            <w:r w:rsidR="00E74DD6" w:rsidRPr="005E5BD2">
              <w:rPr>
                <w:sz w:val="22"/>
                <w:szCs w:val="22"/>
              </w:rPr>
              <w:t>Knowledge Integration, University of Waterloo, Ontario, Canada</w:t>
            </w:r>
            <w:r w:rsidR="00BF26DC" w:rsidRPr="005E5BD2">
              <w:rPr>
                <w:sz w:val="22"/>
                <w:szCs w:val="22"/>
              </w:rPr>
              <w:t xml:space="preserve"> (vanessa.schweizer@uwaterloo.ca)</w:t>
            </w:r>
          </w:p>
          <w:p w14:paraId="41D3D644" w14:textId="06C7C76C" w:rsidR="00E74DD6" w:rsidRPr="005E5BD2" w:rsidRDefault="00024F77" w:rsidP="00E74DD6">
            <w:pPr>
              <w:pStyle w:val="NormalWeb"/>
              <w:spacing w:before="0" w:beforeAutospacing="0" w:after="0" w:afterAutospacing="0"/>
              <w:rPr>
                <w:sz w:val="22"/>
                <w:szCs w:val="22"/>
              </w:rPr>
            </w:pPr>
            <w:r w:rsidRPr="005E5BD2">
              <w:rPr>
                <w:sz w:val="22"/>
                <w:szCs w:val="22"/>
                <w:vertAlign w:val="superscript"/>
              </w:rPr>
              <w:t>3</w:t>
            </w:r>
            <w:r w:rsidR="00E74DD6" w:rsidRPr="005E5BD2">
              <w:rPr>
                <w:sz w:val="22"/>
                <w:szCs w:val="22"/>
              </w:rPr>
              <w:t>Department of Systems Design Engineering</w:t>
            </w:r>
          </w:p>
          <w:p w14:paraId="655E389C" w14:textId="052C90CA" w:rsidR="00FE02D4" w:rsidRPr="005E5BD2" w:rsidRDefault="00E74DD6" w:rsidP="00774DC5">
            <w:pPr>
              <w:pStyle w:val="NormalWeb"/>
              <w:spacing w:before="0" w:beforeAutospacing="0" w:after="0" w:afterAutospacing="0"/>
              <w:rPr>
                <w:sz w:val="22"/>
                <w:szCs w:val="22"/>
              </w:rPr>
            </w:pPr>
            <w:r w:rsidRPr="005E5BD2">
              <w:rPr>
                <w:sz w:val="22"/>
                <w:szCs w:val="22"/>
              </w:rPr>
              <w:t xml:space="preserve">University of Waterloo, Waterloo, Ontario, Canada </w:t>
            </w:r>
            <w:r w:rsidR="00BF26DC" w:rsidRPr="005E5BD2">
              <w:rPr>
                <w:sz w:val="22"/>
                <w:szCs w:val="22"/>
              </w:rPr>
              <w:t>(kwhipel@uwaterloo.ca)</w:t>
            </w:r>
          </w:p>
        </w:tc>
        <w:tc>
          <w:tcPr>
            <w:tcW w:w="2268" w:type="dxa"/>
          </w:tcPr>
          <w:p w14:paraId="6AAEA77D" w14:textId="28462D06" w:rsidR="00FE02D4" w:rsidRPr="005E5BD2" w:rsidRDefault="00E74DD6" w:rsidP="00FE02D4">
            <w:pPr>
              <w:snapToGrid w:val="0"/>
              <w:rPr>
                <w:rFonts w:eastAsia="SimSun"/>
                <w:color w:val="202020"/>
                <w:sz w:val="22"/>
                <w:szCs w:val="22"/>
              </w:rPr>
            </w:pPr>
            <w:r w:rsidRPr="005E5BD2">
              <w:rPr>
                <w:rFonts w:eastAsia="SimSun"/>
                <w:color w:val="202020"/>
                <w:sz w:val="22"/>
                <w:szCs w:val="22"/>
              </w:rPr>
              <w:t>Using Expert elicitation to facilitate Systems of System analysis in the Cauvery River Basin</w:t>
            </w:r>
          </w:p>
        </w:tc>
      </w:tr>
      <w:tr w:rsidR="00B74201" w:rsidRPr="005E5BD2" w14:paraId="7768B68B" w14:textId="77777777" w:rsidTr="005E5BD2">
        <w:tc>
          <w:tcPr>
            <w:tcW w:w="2127" w:type="dxa"/>
          </w:tcPr>
          <w:p w14:paraId="75B633DC" w14:textId="393A1BE1" w:rsidR="00B74201" w:rsidRPr="005E5BD2" w:rsidRDefault="00E74DD6" w:rsidP="00B74201">
            <w:pPr>
              <w:snapToGrid w:val="0"/>
              <w:rPr>
                <w:sz w:val="22"/>
                <w:szCs w:val="22"/>
                <w:vertAlign w:val="superscript"/>
                <w:lang w:val="de-DE"/>
              </w:rPr>
            </w:pPr>
            <w:r w:rsidRPr="005E5BD2">
              <w:rPr>
                <w:sz w:val="22"/>
                <w:szCs w:val="22"/>
                <w:lang w:val="de-DE"/>
              </w:rPr>
              <w:t>Mohsen Shahbaznezhadfard</w:t>
            </w:r>
            <w:r w:rsidR="00024F77" w:rsidRPr="005E5BD2">
              <w:rPr>
                <w:sz w:val="22"/>
                <w:szCs w:val="22"/>
                <w:vertAlign w:val="superscript"/>
                <w:lang w:val="de-DE"/>
              </w:rPr>
              <w:t>1</w:t>
            </w:r>
          </w:p>
          <w:p w14:paraId="10EADD78" w14:textId="3AB95106" w:rsidR="00E74DD6" w:rsidRPr="005E5BD2" w:rsidRDefault="00E74DD6" w:rsidP="00B74201">
            <w:pPr>
              <w:snapToGrid w:val="0"/>
              <w:rPr>
                <w:iCs/>
                <w:sz w:val="22"/>
                <w:szCs w:val="22"/>
                <w:vertAlign w:val="superscript"/>
              </w:rPr>
            </w:pPr>
            <w:r w:rsidRPr="005E5BD2">
              <w:rPr>
                <w:sz w:val="22"/>
                <w:szCs w:val="22"/>
                <w:lang w:val="de-DE"/>
              </w:rPr>
              <w:t>Saied Yousefi</w:t>
            </w:r>
            <w:r w:rsidR="005E5BD2">
              <w:rPr>
                <w:sz w:val="22"/>
                <w:szCs w:val="22"/>
                <w:vertAlign w:val="superscript"/>
                <w:lang w:val="de-DE"/>
              </w:rPr>
              <w:t>2</w:t>
            </w:r>
          </w:p>
        </w:tc>
        <w:tc>
          <w:tcPr>
            <w:tcW w:w="4819" w:type="dxa"/>
          </w:tcPr>
          <w:p w14:paraId="5F41C1C2" w14:textId="1BCF8C97" w:rsidR="00E74DD6" w:rsidRPr="005E5BD2" w:rsidRDefault="00024F77" w:rsidP="00E74DD6">
            <w:pPr>
              <w:rPr>
                <w:sz w:val="22"/>
                <w:szCs w:val="22"/>
              </w:rPr>
            </w:pPr>
            <w:r w:rsidRPr="005E5BD2">
              <w:rPr>
                <w:rFonts w:eastAsia="SimSun"/>
                <w:color w:val="202020"/>
                <w:sz w:val="22"/>
                <w:szCs w:val="22"/>
                <w:vertAlign w:val="superscript"/>
              </w:rPr>
              <w:t>1</w:t>
            </w:r>
            <w:r w:rsidR="00E74DD6" w:rsidRPr="005E5BD2">
              <w:rPr>
                <w:sz w:val="22"/>
                <w:szCs w:val="22"/>
              </w:rPr>
              <w:t xml:space="preserve"> Environmental Engineering, University of Tehran, Tehran, Iran (</w:t>
            </w:r>
            <w:hyperlink r:id="rId7" w:history="1">
              <w:r w:rsidR="00E74DD6" w:rsidRPr="005E5BD2">
                <w:rPr>
                  <w:sz w:val="22"/>
                  <w:szCs w:val="22"/>
                </w:rPr>
                <w:t>m.shahbaznezhad@ut.ac.ir</w:t>
              </w:r>
            </w:hyperlink>
            <w:r w:rsidR="00E74DD6" w:rsidRPr="005E5BD2">
              <w:rPr>
                <w:sz w:val="22"/>
                <w:szCs w:val="22"/>
              </w:rPr>
              <w:t>)</w:t>
            </w:r>
          </w:p>
          <w:p w14:paraId="1D3F0A34" w14:textId="4BA772A0" w:rsidR="00B74201" w:rsidRPr="005E5BD2" w:rsidRDefault="00024F77" w:rsidP="00024F77">
            <w:pPr>
              <w:rPr>
                <w:sz w:val="22"/>
                <w:szCs w:val="22"/>
              </w:rPr>
            </w:pPr>
            <w:r w:rsidRPr="005E5BD2">
              <w:rPr>
                <w:sz w:val="22"/>
                <w:szCs w:val="22"/>
                <w:vertAlign w:val="superscript"/>
              </w:rPr>
              <w:t>2</w:t>
            </w:r>
            <w:r w:rsidR="00E74DD6" w:rsidRPr="005E5BD2">
              <w:rPr>
                <w:sz w:val="22"/>
                <w:szCs w:val="22"/>
              </w:rPr>
              <w:t>Department of Architecture, University of Tehran, Tehran, Iran; Faculty Team Member, Department of Systems Design Engineering, University of Waterloo, Ontario, Canada (</w:t>
            </w:r>
            <w:hyperlink r:id="rId8" w:history="1">
              <w:r w:rsidR="00E74DD6" w:rsidRPr="005E5BD2">
                <w:rPr>
                  <w:sz w:val="22"/>
                  <w:szCs w:val="22"/>
                </w:rPr>
                <w:t>sdyousefi@ut.ac.ir</w:t>
              </w:r>
            </w:hyperlink>
            <w:r w:rsidR="00E74DD6" w:rsidRPr="005E5BD2">
              <w:rPr>
                <w:sz w:val="22"/>
                <w:szCs w:val="22"/>
              </w:rPr>
              <w:t>)</w:t>
            </w:r>
          </w:p>
        </w:tc>
        <w:tc>
          <w:tcPr>
            <w:tcW w:w="2268" w:type="dxa"/>
          </w:tcPr>
          <w:p w14:paraId="16773CEB" w14:textId="624FCC36" w:rsidR="00B74201" w:rsidRPr="005E5BD2" w:rsidRDefault="00E74DD6" w:rsidP="00B74201">
            <w:pPr>
              <w:snapToGrid w:val="0"/>
              <w:rPr>
                <w:iCs/>
                <w:sz w:val="22"/>
                <w:szCs w:val="22"/>
              </w:rPr>
            </w:pPr>
            <w:r w:rsidRPr="005E5BD2">
              <w:rPr>
                <w:iCs/>
                <w:sz w:val="22"/>
                <w:szCs w:val="22"/>
              </w:rPr>
              <w:t>Integrated Study of the Tigris-Euphrates Basin Complicated Conflict Using Dynamic-Based Graph Model for Conflict Resolution</w:t>
            </w:r>
          </w:p>
        </w:tc>
      </w:tr>
      <w:tr w:rsidR="00FE02D4" w:rsidRPr="005E5BD2" w14:paraId="7DA24BC1" w14:textId="77777777" w:rsidTr="005E5BD2">
        <w:tc>
          <w:tcPr>
            <w:tcW w:w="2127" w:type="dxa"/>
          </w:tcPr>
          <w:p w14:paraId="3F8DDE57" w14:textId="41106F29" w:rsidR="00E74DD6" w:rsidRPr="005E5BD2" w:rsidRDefault="00E74DD6" w:rsidP="00E74DD6">
            <w:pPr>
              <w:rPr>
                <w:sz w:val="22"/>
                <w:szCs w:val="22"/>
                <w:vertAlign w:val="superscript"/>
                <w:lang w:val="de-DE"/>
              </w:rPr>
            </w:pPr>
            <w:r w:rsidRPr="005E5BD2">
              <w:rPr>
                <w:sz w:val="22"/>
                <w:szCs w:val="22"/>
                <w:lang w:val="de-DE"/>
              </w:rPr>
              <w:t>Mohsen Shahbaznezhadfard</w:t>
            </w:r>
            <w:r w:rsidR="00024F77" w:rsidRPr="005E5BD2">
              <w:rPr>
                <w:sz w:val="22"/>
                <w:szCs w:val="22"/>
                <w:vertAlign w:val="superscript"/>
                <w:lang w:val="de-DE"/>
              </w:rPr>
              <w:t>1</w:t>
            </w:r>
          </w:p>
          <w:p w14:paraId="0EAAF24A" w14:textId="2E8554CF" w:rsidR="00FE02D4" w:rsidRPr="005E5BD2" w:rsidRDefault="00E74DD6" w:rsidP="00E74DD6">
            <w:pPr>
              <w:rPr>
                <w:iCs/>
                <w:sz w:val="22"/>
                <w:szCs w:val="22"/>
                <w:vertAlign w:val="superscript"/>
              </w:rPr>
            </w:pPr>
            <w:r w:rsidRPr="005E5BD2">
              <w:rPr>
                <w:sz w:val="22"/>
                <w:szCs w:val="22"/>
                <w:lang w:val="de-DE"/>
              </w:rPr>
              <w:t>Saied Yousefi</w:t>
            </w:r>
            <w:r w:rsidR="00024F77" w:rsidRPr="005E5BD2">
              <w:rPr>
                <w:sz w:val="22"/>
                <w:szCs w:val="22"/>
                <w:vertAlign w:val="superscript"/>
                <w:lang w:val="de-DE"/>
              </w:rPr>
              <w:t>2</w:t>
            </w:r>
          </w:p>
        </w:tc>
        <w:tc>
          <w:tcPr>
            <w:tcW w:w="4819" w:type="dxa"/>
          </w:tcPr>
          <w:p w14:paraId="1871403D" w14:textId="1A647B01" w:rsidR="00E74DD6" w:rsidRPr="005E5BD2" w:rsidRDefault="00024F77" w:rsidP="00E74DD6">
            <w:pPr>
              <w:rPr>
                <w:sz w:val="22"/>
                <w:szCs w:val="22"/>
              </w:rPr>
            </w:pPr>
            <w:r w:rsidRPr="005E5BD2">
              <w:rPr>
                <w:sz w:val="22"/>
                <w:szCs w:val="22"/>
                <w:vertAlign w:val="superscript"/>
              </w:rPr>
              <w:t>1</w:t>
            </w:r>
            <w:r w:rsidR="00E74DD6" w:rsidRPr="005E5BD2">
              <w:rPr>
                <w:sz w:val="22"/>
                <w:szCs w:val="22"/>
              </w:rPr>
              <w:t>Environmental Engineering, University of Tehran, Tehran, Iran (</w:t>
            </w:r>
            <w:hyperlink r:id="rId9" w:history="1">
              <w:r w:rsidR="00E74DD6" w:rsidRPr="005E5BD2">
                <w:rPr>
                  <w:sz w:val="22"/>
                  <w:szCs w:val="22"/>
                </w:rPr>
                <w:t>m.shahbaznezhad@ut.ac.ir</w:t>
              </w:r>
            </w:hyperlink>
            <w:r w:rsidR="00E74DD6" w:rsidRPr="005E5BD2">
              <w:rPr>
                <w:sz w:val="22"/>
                <w:szCs w:val="22"/>
              </w:rPr>
              <w:t>)</w:t>
            </w:r>
          </w:p>
          <w:p w14:paraId="4F1DC19F" w14:textId="5E247D2B" w:rsidR="00E74DD6" w:rsidRPr="005E5BD2" w:rsidRDefault="00024F77" w:rsidP="00E74DD6">
            <w:pPr>
              <w:rPr>
                <w:sz w:val="22"/>
                <w:szCs w:val="22"/>
              </w:rPr>
            </w:pPr>
            <w:r w:rsidRPr="005E5BD2">
              <w:rPr>
                <w:sz w:val="22"/>
                <w:szCs w:val="22"/>
                <w:vertAlign w:val="superscript"/>
              </w:rPr>
              <w:t>2</w:t>
            </w:r>
            <w:r w:rsidR="00E74DD6" w:rsidRPr="005E5BD2">
              <w:rPr>
                <w:sz w:val="22"/>
                <w:szCs w:val="22"/>
              </w:rPr>
              <w:t>Department of Architecture, University of Tehran, Tehran, Iran; Faculty Team Member, Department of Systems Design Engineering, University of Waterloo, Ontario, Canada (</w:t>
            </w:r>
            <w:hyperlink r:id="rId10" w:history="1">
              <w:r w:rsidR="00E74DD6" w:rsidRPr="005E5BD2">
                <w:rPr>
                  <w:sz w:val="22"/>
                  <w:szCs w:val="22"/>
                </w:rPr>
                <w:t>sdyousefi@ut.ac.ir</w:t>
              </w:r>
            </w:hyperlink>
            <w:r w:rsidR="00E74DD6" w:rsidRPr="005E5BD2">
              <w:rPr>
                <w:sz w:val="22"/>
                <w:szCs w:val="22"/>
              </w:rPr>
              <w:t>)</w:t>
            </w:r>
          </w:p>
        </w:tc>
        <w:tc>
          <w:tcPr>
            <w:tcW w:w="2268" w:type="dxa"/>
          </w:tcPr>
          <w:p w14:paraId="4399C834" w14:textId="360C915B" w:rsidR="00FE02D4" w:rsidRPr="005E5BD2" w:rsidRDefault="00E74DD6" w:rsidP="00FE02D4">
            <w:pPr>
              <w:snapToGrid w:val="0"/>
              <w:rPr>
                <w:iCs/>
                <w:sz w:val="22"/>
                <w:szCs w:val="22"/>
              </w:rPr>
            </w:pPr>
            <w:r w:rsidRPr="005E5BD2">
              <w:rPr>
                <w:iCs/>
                <w:sz w:val="22"/>
                <w:szCs w:val="22"/>
              </w:rPr>
              <w:t>The Impact of the COVID-19 Pandemic on Water and Environmental Conflicts: A Game Theoretic Insight</w:t>
            </w:r>
          </w:p>
        </w:tc>
      </w:tr>
      <w:tr w:rsidR="003170F4" w:rsidRPr="005E5BD2" w14:paraId="1DAB639B" w14:textId="77777777" w:rsidTr="005E5BD2">
        <w:tc>
          <w:tcPr>
            <w:tcW w:w="2127" w:type="dxa"/>
          </w:tcPr>
          <w:p w14:paraId="328ED581" w14:textId="4CF95B5F" w:rsidR="003170F4" w:rsidRPr="005E5BD2" w:rsidRDefault="00E74DD6" w:rsidP="003170F4">
            <w:pPr>
              <w:snapToGrid w:val="0"/>
              <w:rPr>
                <w:iCs/>
                <w:sz w:val="22"/>
                <w:szCs w:val="22"/>
                <w:vertAlign w:val="superscript"/>
              </w:rPr>
            </w:pPr>
            <w:r w:rsidRPr="005E5BD2">
              <w:rPr>
                <w:iCs/>
                <w:sz w:val="22"/>
                <w:szCs w:val="22"/>
              </w:rPr>
              <w:t>Simone Philpot</w:t>
            </w:r>
            <w:r w:rsidR="00024F77" w:rsidRPr="005E5BD2">
              <w:rPr>
                <w:iCs/>
                <w:sz w:val="22"/>
                <w:szCs w:val="22"/>
                <w:vertAlign w:val="superscript"/>
              </w:rPr>
              <w:t>1</w:t>
            </w:r>
          </w:p>
          <w:p w14:paraId="1D9BCF15" w14:textId="153318C4" w:rsidR="00E74DD6" w:rsidRPr="005E5BD2" w:rsidRDefault="00E74DD6" w:rsidP="003170F4">
            <w:pPr>
              <w:snapToGrid w:val="0"/>
              <w:rPr>
                <w:iCs/>
                <w:sz w:val="22"/>
                <w:szCs w:val="22"/>
                <w:vertAlign w:val="superscript"/>
              </w:rPr>
            </w:pPr>
            <w:r w:rsidRPr="005E5BD2">
              <w:rPr>
                <w:iCs/>
                <w:sz w:val="22"/>
                <w:szCs w:val="22"/>
              </w:rPr>
              <w:t>Keith W. Hipel</w:t>
            </w:r>
            <w:r w:rsidR="00024F77" w:rsidRPr="005E5BD2">
              <w:rPr>
                <w:iCs/>
                <w:sz w:val="22"/>
                <w:szCs w:val="22"/>
                <w:vertAlign w:val="superscript"/>
              </w:rPr>
              <w:t>2</w:t>
            </w:r>
          </w:p>
        </w:tc>
        <w:tc>
          <w:tcPr>
            <w:tcW w:w="4819" w:type="dxa"/>
          </w:tcPr>
          <w:p w14:paraId="45B6B6A9" w14:textId="41684BC6" w:rsidR="00E74DD6" w:rsidRPr="005E5BD2" w:rsidRDefault="00024F77" w:rsidP="00E74DD6">
            <w:pPr>
              <w:pStyle w:val="NormalWeb"/>
              <w:spacing w:before="0" w:beforeAutospacing="0" w:after="0" w:afterAutospacing="0"/>
              <w:rPr>
                <w:sz w:val="22"/>
                <w:szCs w:val="22"/>
              </w:rPr>
            </w:pPr>
            <w:r w:rsidRPr="005E5BD2">
              <w:rPr>
                <w:iCs/>
                <w:sz w:val="22"/>
                <w:szCs w:val="22"/>
                <w:vertAlign w:val="superscript"/>
              </w:rPr>
              <w:t>1</w:t>
            </w:r>
            <w:r w:rsidR="00E74DD6" w:rsidRPr="005E5BD2">
              <w:rPr>
                <w:sz w:val="22"/>
                <w:szCs w:val="22"/>
              </w:rPr>
              <w:t>Department of Systems Design Engineering</w:t>
            </w:r>
          </w:p>
          <w:p w14:paraId="0D8A40AC" w14:textId="2824821C" w:rsidR="00E74DD6" w:rsidRPr="005E5BD2" w:rsidRDefault="00E74DD6" w:rsidP="00E74DD6">
            <w:pPr>
              <w:pStyle w:val="NormalWeb"/>
              <w:spacing w:before="0" w:beforeAutospacing="0" w:after="0" w:afterAutospacing="0"/>
              <w:rPr>
                <w:sz w:val="22"/>
                <w:szCs w:val="22"/>
              </w:rPr>
            </w:pPr>
            <w:r w:rsidRPr="005E5BD2">
              <w:rPr>
                <w:sz w:val="22"/>
                <w:szCs w:val="22"/>
              </w:rPr>
              <w:t xml:space="preserve">University of Waterloo, Waterloo, Ontario, Canada </w:t>
            </w:r>
            <w:r w:rsidR="00BF26DC" w:rsidRPr="005E5BD2">
              <w:rPr>
                <w:sz w:val="22"/>
                <w:szCs w:val="22"/>
              </w:rPr>
              <w:t>(sphilpot@uwaterloo.ca)</w:t>
            </w:r>
          </w:p>
          <w:p w14:paraId="52EBB416" w14:textId="2E668860" w:rsidR="00BF26DC" w:rsidRPr="005E5BD2" w:rsidRDefault="00BF26DC" w:rsidP="00BF26DC">
            <w:pPr>
              <w:pStyle w:val="NormalWeb"/>
              <w:spacing w:before="0" w:beforeAutospacing="0" w:after="0" w:afterAutospacing="0"/>
              <w:rPr>
                <w:sz w:val="22"/>
                <w:szCs w:val="22"/>
              </w:rPr>
            </w:pPr>
            <w:r w:rsidRPr="005E5BD2">
              <w:rPr>
                <w:iCs/>
                <w:sz w:val="22"/>
                <w:szCs w:val="22"/>
                <w:vertAlign w:val="superscript"/>
              </w:rPr>
              <w:t>2</w:t>
            </w:r>
            <w:r w:rsidRPr="005E5BD2">
              <w:rPr>
                <w:sz w:val="22"/>
                <w:szCs w:val="22"/>
              </w:rPr>
              <w:t>Department of Systems Design Engineering</w:t>
            </w:r>
          </w:p>
          <w:p w14:paraId="37689E36" w14:textId="5687C5D9" w:rsidR="00BF26DC" w:rsidRPr="005E5BD2" w:rsidRDefault="00BF26DC" w:rsidP="00BF26DC">
            <w:pPr>
              <w:pStyle w:val="NormalWeb"/>
              <w:spacing w:before="0" w:beforeAutospacing="0" w:after="0" w:afterAutospacing="0"/>
              <w:rPr>
                <w:sz w:val="22"/>
                <w:szCs w:val="22"/>
              </w:rPr>
            </w:pPr>
            <w:r w:rsidRPr="005E5BD2">
              <w:rPr>
                <w:sz w:val="22"/>
                <w:szCs w:val="22"/>
              </w:rPr>
              <w:t>University of Waterloo, Waterloo, Ontario, Canada (kwhipel@uwaterloo.ca)</w:t>
            </w:r>
          </w:p>
          <w:p w14:paraId="7D6412B2" w14:textId="0BDFC0B5" w:rsidR="003170F4" w:rsidRPr="005E5BD2" w:rsidRDefault="003170F4" w:rsidP="003170F4">
            <w:pPr>
              <w:snapToGrid w:val="0"/>
              <w:rPr>
                <w:iCs/>
                <w:sz w:val="22"/>
                <w:szCs w:val="22"/>
              </w:rPr>
            </w:pPr>
          </w:p>
        </w:tc>
        <w:tc>
          <w:tcPr>
            <w:tcW w:w="2268" w:type="dxa"/>
          </w:tcPr>
          <w:p w14:paraId="032E2E1B" w14:textId="3CB9A13F" w:rsidR="003170F4" w:rsidRPr="005E5BD2" w:rsidRDefault="00BA528B" w:rsidP="00BA528B">
            <w:pPr>
              <w:rPr>
                <w:sz w:val="22"/>
                <w:szCs w:val="22"/>
              </w:rPr>
            </w:pPr>
            <w:r w:rsidRPr="005E5BD2">
              <w:rPr>
                <w:iCs/>
                <w:sz w:val="22"/>
                <w:szCs w:val="22"/>
              </w:rPr>
              <w:t>“</w:t>
            </w:r>
            <w:r w:rsidRPr="005E5BD2">
              <w:rPr>
                <w:sz w:val="22"/>
                <w:szCs w:val="22"/>
              </w:rPr>
              <w:t xml:space="preserve">We are going to make sure it doesn’t happen one way or another” Investigating an ongoing dispute over the </w:t>
            </w:r>
            <w:proofErr w:type="gramStart"/>
            <w:r w:rsidRPr="005E5BD2">
              <w:rPr>
                <w:sz w:val="22"/>
                <w:szCs w:val="22"/>
              </w:rPr>
              <w:t xml:space="preserve">proposed  </w:t>
            </w:r>
            <w:proofErr w:type="spellStart"/>
            <w:r w:rsidRPr="005E5BD2">
              <w:rPr>
                <w:sz w:val="22"/>
                <w:szCs w:val="22"/>
              </w:rPr>
              <w:t>Campbellville</w:t>
            </w:r>
            <w:proofErr w:type="spellEnd"/>
            <w:proofErr w:type="gramEnd"/>
            <w:r w:rsidRPr="005E5BD2">
              <w:rPr>
                <w:sz w:val="22"/>
                <w:szCs w:val="22"/>
              </w:rPr>
              <w:t xml:space="preserve"> quarry in Ontario, Canada.</w:t>
            </w:r>
          </w:p>
        </w:tc>
      </w:tr>
      <w:tr w:rsidR="005E5BD2" w:rsidRPr="005E5BD2" w14:paraId="5073D78D" w14:textId="77777777" w:rsidTr="005E5BD2">
        <w:tc>
          <w:tcPr>
            <w:tcW w:w="2127" w:type="dxa"/>
          </w:tcPr>
          <w:p w14:paraId="607DF70E" w14:textId="77777777" w:rsidR="005E5BD2" w:rsidRPr="005E5BD2" w:rsidRDefault="005E5BD2" w:rsidP="005E5BD2">
            <w:pPr>
              <w:rPr>
                <w:sz w:val="22"/>
                <w:szCs w:val="22"/>
                <w:vertAlign w:val="superscript"/>
                <w:lang w:val="de-DE" w:eastAsia="de-DE"/>
              </w:rPr>
            </w:pPr>
            <w:r w:rsidRPr="005E5BD2">
              <w:rPr>
                <w:sz w:val="22"/>
                <w:szCs w:val="22"/>
                <w:lang w:val="de-DE" w:eastAsia="de-DE"/>
              </w:rPr>
              <w:t>Mitra Pourvaziri</w:t>
            </w:r>
            <w:r w:rsidRPr="005E5BD2">
              <w:rPr>
                <w:sz w:val="22"/>
                <w:szCs w:val="22"/>
                <w:vertAlign w:val="superscript"/>
                <w:lang w:val="de-DE" w:eastAsia="de-DE"/>
              </w:rPr>
              <w:t>1</w:t>
            </w:r>
          </w:p>
          <w:p w14:paraId="60B7D747" w14:textId="77777777" w:rsidR="005E5BD2" w:rsidRPr="005E5BD2" w:rsidRDefault="005E5BD2" w:rsidP="005E5BD2">
            <w:pPr>
              <w:rPr>
                <w:iCs/>
                <w:sz w:val="22"/>
                <w:szCs w:val="22"/>
                <w:vertAlign w:val="superscript"/>
              </w:rPr>
            </w:pPr>
            <w:r w:rsidRPr="005E5BD2">
              <w:rPr>
                <w:iCs/>
                <w:sz w:val="22"/>
                <w:szCs w:val="22"/>
              </w:rPr>
              <w:t>Samira Mahmoudkelaye</w:t>
            </w:r>
            <w:r w:rsidRPr="005E5BD2">
              <w:rPr>
                <w:iCs/>
                <w:sz w:val="22"/>
                <w:szCs w:val="22"/>
                <w:vertAlign w:val="superscript"/>
              </w:rPr>
              <w:t>2</w:t>
            </w:r>
          </w:p>
          <w:p w14:paraId="7ACE1A8A" w14:textId="249DC80F" w:rsidR="005E5BD2" w:rsidRPr="005E5BD2" w:rsidRDefault="005E5BD2" w:rsidP="005E5BD2">
            <w:pPr>
              <w:rPr>
                <w:iCs/>
                <w:sz w:val="22"/>
                <w:szCs w:val="22"/>
                <w:vertAlign w:val="superscript"/>
              </w:rPr>
            </w:pPr>
            <w:r w:rsidRPr="005E5BD2">
              <w:rPr>
                <w:iCs/>
                <w:sz w:val="22"/>
                <w:szCs w:val="22"/>
              </w:rPr>
              <w:t>Saied Yousefi</w:t>
            </w:r>
            <w:r w:rsidRPr="005E5BD2">
              <w:rPr>
                <w:iCs/>
                <w:sz w:val="22"/>
                <w:szCs w:val="22"/>
                <w:vertAlign w:val="superscript"/>
              </w:rPr>
              <w:t>3</w:t>
            </w:r>
          </w:p>
        </w:tc>
        <w:tc>
          <w:tcPr>
            <w:tcW w:w="4819" w:type="dxa"/>
          </w:tcPr>
          <w:p w14:paraId="51D15BEC" w14:textId="17AD1F4E" w:rsidR="005E5BD2" w:rsidRPr="005E5BD2" w:rsidRDefault="005E5BD2" w:rsidP="005E5BD2">
            <w:pPr>
              <w:pStyle w:val="NormalWeb"/>
              <w:spacing w:before="0" w:beforeAutospacing="0" w:after="0" w:afterAutospacing="0"/>
              <w:rPr>
                <w:iCs/>
                <w:sz w:val="22"/>
                <w:szCs w:val="22"/>
              </w:rPr>
            </w:pPr>
            <w:r w:rsidRPr="005E5BD2">
              <w:rPr>
                <w:iCs/>
                <w:sz w:val="22"/>
                <w:szCs w:val="22"/>
                <w:vertAlign w:val="superscript"/>
              </w:rPr>
              <w:t>1</w:t>
            </w:r>
            <w:r w:rsidRPr="005E5BD2">
              <w:rPr>
                <w:iCs/>
                <w:sz w:val="22"/>
                <w:szCs w:val="22"/>
              </w:rPr>
              <w:t>College of Architecture, University of Tehran, Tehran, Iran (</w:t>
            </w:r>
            <w:r w:rsidRPr="005E5BD2">
              <w:rPr>
                <w:iCs/>
                <w:color w:val="000000" w:themeColor="text1"/>
                <w:sz w:val="22"/>
                <w:szCs w:val="22"/>
              </w:rPr>
              <w:t>Mitraid@yahoo.com)</w:t>
            </w:r>
          </w:p>
          <w:p w14:paraId="630BF877" w14:textId="77777777" w:rsidR="005E5BD2" w:rsidRPr="005E5BD2" w:rsidRDefault="005E5BD2" w:rsidP="005E5BD2">
            <w:pPr>
              <w:pStyle w:val="NormalWeb"/>
              <w:spacing w:before="0" w:beforeAutospacing="0" w:after="0" w:afterAutospacing="0"/>
              <w:rPr>
                <w:iCs/>
                <w:sz w:val="22"/>
                <w:szCs w:val="22"/>
              </w:rPr>
            </w:pPr>
            <w:r w:rsidRPr="005E5BD2">
              <w:rPr>
                <w:iCs/>
                <w:sz w:val="22"/>
                <w:szCs w:val="22"/>
                <w:vertAlign w:val="superscript"/>
              </w:rPr>
              <w:t xml:space="preserve">2 </w:t>
            </w:r>
            <w:r w:rsidRPr="005E5BD2">
              <w:rPr>
                <w:iCs/>
                <w:sz w:val="22"/>
                <w:szCs w:val="22"/>
              </w:rPr>
              <w:t>Project Management and Construction Group, University of Tehran, Tehran, Iran (s.mkelaye.91@alumni.ut.ac.ir)</w:t>
            </w:r>
          </w:p>
          <w:p w14:paraId="030256DD" w14:textId="26B26372" w:rsidR="005E5BD2" w:rsidRPr="005E5BD2" w:rsidRDefault="005E5BD2" w:rsidP="005E5BD2">
            <w:pPr>
              <w:pStyle w:val="NormalWeb"/>
              <w:spacing w:before="0" w:beforeAutospacing="0" w:after="0" w:afterAutospacing="0"/>
              <w:rPr>
                <w:iCs/>
                <w:sz w:val="22"/>
                <w:szCs w:val="22"/>
              </w:rPr>
            </w:pPr>
            <w:r w:rsidRPr="005E5BD2">
              <w:rPr>
                <w:sz w:val="22"/>
                <w:szCs w:val="22"/>
                <w:vertAlign w:val="superscript"/>
              </w:rPr>
              <w:t>3</w:t>
            </w:r>
            <w:r w:rsidRPr="005E5BD2">
              <w:rPr>
                <w:sz w:val="22"/>
                <w:szCs w:val="22"/>
              </w:rPr>
              <w:t>Department of Architecture, University of Tehran, Tehran, Iran; Faculty Team Member, Department of Systems Design Engineering, University of Waterloo, Ontario, Canada (</w:t>
            </w:r>
            <w:hyperlink r:id="rId11" w:history="1">
              <w:r w:rsidRPr="005E5BD2">
                <w:rPr>
                  <w:sz w:val="22"/>
                  <w:szCs w:val="22"/>
                </w:rPr>
                <w:t>sdyousefi@ut.ac.ir</w:t>
              </w:r>
            </w:hyperlink>
            <w:r w:rsidRPr="005E5BD2">
              <w:rPr>
                <w:sz w:val="22"/>
                <w:szCs w:val="22"/>
              </w:rPr>
              <w:t>)</w:t>
            </w:r>
          </w:p>
          <w:p w14:paraId="4FDD27AD" w14:textId="6C35CBF6" w:rsidR="005E5BD2" w:rsidRPr="005E5BD2" w:rsidRDefault="005E5BD2" w:rsidP="005E5BD2">
            <w:pPr>
              <w:pStyle w:val="NormalWeb"/>
              <w:spacing w:before="0" w:beforeAutospacing="0" w:after="0" w:afterAutospacing="0"/>
              <w:rPr>
                <w:iCs/>
                <w:sz w:val="22"/>
                <w:szCs w:val="22"/>
              </w:rPr>
            </w:pPr>
          </w:p>
        </w:tc>
        <w:tc>
          <w:tcPr>
            <w:tcW w:w="2268" w:type="dxa"/>
          </w:tcPr>
          <w:p w14:paraId="72480850" w14:textId="7838AAE1" w:rsidR="005E5BD2" w:rsidRPr="005E5BD2" w:rsidRDefault="005E5BD2" w:rsidP="00BA528B">
            <w:pPr>
              <w:rPr>
                <w:iCs/>
                <w:sz w:val="22"/>
                <w:szCs w:val="22"/>
              </w:rPr>
            </w:pPr>
            <w:r w:rsidRPr="005E5BD2">
              <w:rPr>
                <w:iCs/>
                <w:sz w:val="22"/>
                <w:szCs w:val="22"/>
              </w:rPr>
              <w:t>Proposing Genetic-Algorithm-Based Graph Model for Conflict Resolution for Optimizing Conflict Environmental Solutions</w:t>
            </w:r>
          </w:p>
        </w:tc>
      </w:tr>
    </w:tbl>
    <w:p w14:paraId="1A244015" w14:textId="77777777" w:rsidR="009848DE" w:rsidRPr="003C7484" w:rsidRDefault="009848DE" w:rsidP="00301415">
      <w:pPr>
        <w:snapToGrid w:val="0"/>
        <w:jc w:val="both"/>
        <w:rPr>
          <w:iCs/>
        </w:rPr>
      </w:pPr>
    </w:p>
    <w:sectPr w:rsidR="009848DE" w:rsidRPr="003C748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F795F" w14:textId="77777777" w:rsidR="00FA0424" w:rsidRDefault="00FA0424" w:rsidP="004275E8">
      <w:r>
        <w:separator/>
      </w:r>
    </w:p>
  </w:endnote>
  <w:endnote w:type="continuationSeparator" w:id="0">
    <w:p w14:paraId="2F85A770" w14:textId="77777777" w:rsidR="00FA0424" w:rsidRDefault="00FA0424" w:rsidP="00427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C0B31" w14:textId="77777777" w:rsidR="00FA0424" w:rsidRDefault="00FA0424" w:rsidP="004275E8">
      <w:r>
        <w:separator/>
      </w:r>
    </w:p>
  </w:footnote>
  <w:footnote w:type="continuationSeparator" w:id="0">
    <w:p w14:paraId="7626754E" w14:textId="77777777" w:rsidR="00FA0424" w:rsidRDefault="00FA0424" w:rsidP="00427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B32CA"/>
    <w:multiLevelType w:val="hybridMultilevel"/>
    <w:tmpl w:val="7674B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F12D80"/>
    <w:multiLevelType w:val="hybridMultilevel"/>
    <w:tmpl w:val="7674B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133"/>
    <w:rsid w:val="00024F77"/>
    <w:rsid w:val="0003171A"/>
    <w:rsid w:val="000C5317"/>
    <w:rsid w:val="001577FF"/>
    <w:rsid w:val="001615C9"/>
    <w:rsid w:val="001B3696"/>
    <w:rsid w:val="002251F8"/>
    <w:rsid w:val="00293B53"/>
    <w:rsid w:val="002972FE"/>
    <w:rsid w:val="00301415"/>
    <w:rsid w:val="00304F03"/>
    <w:rsid w:val="003170F4"/>
    <w:rsid w:val="003A7967"/>
    <w:rsid w:val="003C7484"/>
    <w:rsid w:val="003E54D7"/>
    <w:rsid w:val="003E651C"/>
    <w:rsid w:val="003F6133"/>
    <w:rsid w:val="00414EA0"/>
    <w:rsid w:val="004275E8"/>
    <w:rsid w:val="0043388A"/>
    <w:rsid w:val="00433D55"/>
    <w:rsid w:val="00443488"/>
    <w:rsid w:val="00496405"/>
    <w:rsid w:val="004E3CC7"/>
    <w:rsid w:val="00532D6C"/>
    <w:rsid w:val="005B16FA"/>
    <w:rsid w:val="005C597B"/>
    <w:rsid w:val="005D0AE0"/>
    <w:rsid w:val="005E5BD2"/>
    <w:rsid w:val="005F54E2"/>
    <w:rsid w:val="005F5C0B"/>
    <w:rsid w:val="00631850"/>
    <w:rsid w:val="00675341"/>
    <w:rsid w:val="006867DC"/>
    <w:rsid w:val="006E304D"/>
    <w:rsid w:val="00740E59"/>
    <w:rsid w:val="00742D5E"/>
    <w:rsid w:val="00743549"/>
    <w:rsid w:val="00747ECB"/>
    <w:rsid w:val="00754534"/>
    <w:rsid w:val="00774DC5"/>
    <w:rsid w:val="007D3C7B"/>
    <w:rsid w:val="007E6760"/>
    <w:rsid w:val="00807CAA"/>
    <w:rsid w:val="00817FA6"/>
    <w:rsid w:val="0092398F"/>
    <w:rsid w:val="009848DE"/>
    <w:rsid w:val="009C1EC0"/>
    <w:rsid w:val="009C771C"/>
    <w:rsid w:val="009E3CBF"/>
    <w:rsid w:val="00A4324B"/>
    <w:rsid w:val="00A63EC5"/>
    <w:rsid w:val="00AA65B2"/>
    <w:rsid w:val="00AD0167"/>
    <w:rsid w:val="00AF4275"/>
    <w:rsid w:val="00B42BB3"/>
    <w:rsid w:val="00B71D3A"/>
    <w:rsid w:val="00B74201"/>
    <w:rsid w:val="00BA528B"/>
    <w:rsid w:val="00BB345E"/>
    <w:rsid w:val="00BF26DC"/>
    <w:rsid w:val="00C81858"/>
    <w:rsid w:val="00CA49A1"/>
    <w:rsid w:val="00CC4415"/>
    <w:rsid w:val="00D21905"/>
    <w:rsid w:val="00D65FA2"/>
    <w:rsid w:val="00E44C4E"/>
    <w:rsid w:val="00E452D9"/>
    <w:rsid w:val="00E528A4"/>
    <w:rsid w:val="00E6133D"/>
    <w:rsid w:val="00E74DD6"/>
    <w:rsid w:val="00E87BCE"/>
    <w:rsid w:val="00EA15EF"/>
    <w:rsid w:val="00EB6B7E"/>
    <w:rsid w:val="00F16469"/>
    <w:rsid w:val="00F257A8"/>
    <w:rsid w:val="00F6652A"/>
    <w:rsid w:val="00F73F09"/>
    <w:rsid w:val="00FA0424"/>
    <w:rsid w:val="00FB0670"/>
    <w:rsid w:val="00FB3B54"/>
    <w:rsid w:val="00FB729E"/>
    <w:rsid w:val="00FC2A8F"/>
    <w:rsid w:val="00FE02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808BB"/>
  <w15:chartTrackingRefBased/>
  <w15:docId w15:val="{B469FD1A-F472-4CC9-8780-F639A8D72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28B"/>
    <w:pPr>
      <w:spacing w:after="0" w:line="240" w:lineRule="auto"/>
    </w:pPr>
    <w:rPr>
      <w:rFonts w:ascii="Times New Roman" w:eastAsia="Times New Roman" w:hAnsi="Times New Roman" w:cs="Times New Roman"/>
      <w:sz w:val="24"/>
      <w:szCs w:val="24"/>
      <w:lang w:val="en-CA" w:eastAsia="en-US"/>
    </w:rPr>
  </w:style>
  <w:style w:type="paragraph" w:styleId="Heading1">
    <w:name w:val="heading 1"/>
    <w:basedOn w:val="Normal"/>
    <w:next w:val="Normal"/>
    <w:link w:val="Heading1Char"/>
    <w:uiPriority w:val="9"/>
    <w:qFormat/>
    <w:rsid w:val="00301415"/>
    <w:pPr>
      <w:keepNext/>
      <w:keepLines/>
      <w:spacing w:line="360" w:lineRule="auto"/>
      <w:outlineLvl w:val="0"/>
    </w:pPr>
    <w:rPr>
      <w:rFonts w:eastAsia="SimSun" w:cstheme="minorBidi"/>
      <w:b/>
      <w:bCs/>
      <w:kern w:val="44"/>
      <w:sz w:val="28"/>
      <w:szCs w:val="4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B7E"/>
    <w:rPr>
      <w:color w:val="0563C1" w:themeColor="hyperlink"/>
      <w:u w:val="single"/>
    </w:rPr>
  </w:style>
  <w:style w:type="character" w:customStyle="1" w:styleId="UnresolvedMention1">
    <w:name w:val="Unresolved Mention1"/>
    <w:basedOn w:val="DefaultParagraphFont"/>
    <w:uiPriority w:val="99"/>
    <w:semiHidden/>
    <w:unhideWhenUsed/>
    <w:rsid w:val="00EB6B7E"/>
    <w:rPr>
      <w:color w:val="605E5C"/>
      <w:shd w:val="clear" w:color="auto" w:fill="E1DFDD"/>
    </w:rPr>
  </w:style>
  <w:style w:type="paragraph" w:styleId="Header">
    <w:name w:val="header"/>
    <w:basedOn w:val="Normal"/>
    <w:link w:val="HeaderChar"/>
    <w:uiPriority w:val="99"/>
    <w:unhideWhenUsed/>
    <w:rsid w:val="004275E8"/>
    <w:pPr>
      <w:tabs>
        <w:tab w:val="center" w:pos="4320"/>
        <w:tab w:val="right" w:pos="8640"/>
      </w:tabs>
    </w:pPr>
    <w:rPr>
      <w:rFonts w:asciiTheme="minorHAnsi" w:eastAsiaTheme="minorEastAsia" w:hAnsiTheme="minorHAnsi" w:cstheme="minorBidi"/>
      <w:sz w:val="22"/>
      <w:szCs w:val="22"/>
      <w:lang w:val="en-US" w:eastAsia="zh-CN"/>
    </w:rPr>
  </w:style>
  <w:style w:type="character" w:customStyle="1" w:styleId="HeaderChar">
    <w:name w:val="Header Char"/>
    <w:basedOn w:val="DefaultParagraphFont"/>
    <w:link w:val="Header"/>
    <w:uiPriority w:val="99"/>
    <w:rsid w:val="004275E8"/>
  </w:style>
  <w:style w:type="paragraph" w:styleId="Footer">
    <w:name w:val="footer"/>
    <w:basedOn w:val="Normal"/>
    <w:link w:val="FooterChar"/>
    <w:uiPriority w:val="99"/>
    <w:unhideWhenUsed/>
    <w:rsid w:val="004275E8"/>
    <w:pPr>
      <w:tabs>
        <w:tab w:val="center" w:pos="4320"/>
        <w:tab w:val="right" w:pos="8640"/>
      </w:tabs>
    </w:pPr>
    <w:rPr>
      <w:rFonts w:asciiTheme="minorHAnsi" w:eastAsiaTheme="minorEastAsia" w:hAnsiTheme="minorHAnsi" w:cstheme="minorBidi"/>
      <w:sz w:val="22"/>
      <w:szCs w:val="22"/>
      <w:lang w:val="en-US" w:eastAsia="zh-CN"/>
    </w:rPr>
  </w:style>
  <w:style w:type="character" w:customStyle="1" w:styleId="FooterChar">
    <w:name w:val="Footer Char"/>
    <w:basedOn w:val="DefaultParagraphFont"/>
    <w:link w:val="Footer"/>
    <w:uiPriority w:val="99"/>
    <w:rsid w:val="004275E8"/>
  </w:style>
  <w:style w:type="paragraph" w:styleId="ListParagraph">
    <w:name w:val="List Paragraph"/>
    <w:basedOn w:val="Normal"/>
    <w:uiPriority w:val="34"/>
    <w:qFormat/>
    <w:rsid w:val="00293B53"/>
    <w:pPr>
      <w:spacing w:after="160" w:line="259" w:lineRule="auto"/>
      <w:ind w:firstLineChars="200" w:firstLine="420"/>
    </w:pPr>
    <w:rPr>
      <w:rFonts w:asciiTheme="minorHAnsi" w:eastAsiaTheme="minorEastAsia" w:hAnsiTheme="minorHAnsi" w:cstheme="minorBidi"/>
      <w:sz w:val="22"/>
      <w:szCs w:val="22"/>
      <w:lang w:val="en-US" w:eastAsia="zh-CN"/>
    </w:rPr>
  </w:style>
  <w:style w:type="character" w:styleId="UnresolvedMention">
    <w:name w:val="Unresolved Mention"/>
    <w:basedOn w:val="DefaultParagraphFont"/>
    <w:uiPriority w:val="99"/>
    <w:semiHidden/>
    <w:unhideWhenUsed/>
    <w:rsid w:val="003C7484"/>
    <w:rPr>
      <w:color w:val="605E5C"/>
      <w:shd w:val="clear" w:color="auto" w:fill="E1DFDD"/>
    </w:rPr>
  </w:style>
  <w:style w:type="table" w:styleId="TableGrid">
    <w:name w:val="Table Grid"/>
    <w:basedOn w:val="TableNormal"/>
    <w:uiPriority w:val="39"/>
    <w:rsid w:val="00301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01415"/>
    <w:rPr>
      <w:rFonts w:ascii="Times New Roman" w:eastAsia="SimSun" w:hAnsi="Times New Roman"/>
      <w:b/>
      <w:bCs/>
      <w:kern w:val="44"/>
      <w:sz w:val="28"/>
      <w:szCs w:val="44"/>
    </w:rPr>
  </w:style>
  <w:style w:type="paragraph" w:styleId="Revision">
    <w:name w:val="Revision"/>
    <w:hidden/>
    <w:uiPriority w:val="99"/>
    <w:semiHidden/>
    <w:rsid w:val="00496405"/>
    <w:pPr>
      <w:spacing w:after="0" w:line="240" w:lineRule="auto"/>
    </w:pPr>
  </w:style>
  <w:style w:type="paragraph" w:styleId="NormalWeb">
    <w:name w:val="Normal (Web)"/>
    <w:basedOn w:val="Normal"/>
    <w:uiPriority w:val="99"/>
    <w:unhideWhenUsed/>
    <w:rsid w:val="009E3CB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170086">
      <w:bodyDiv w:val="1"/>
      <w:marLeft w:val="0"/>
      <w:marRight w:val="0"/>
      <w:marTop w:val="0"/>
      <w:marBottom w:val="0"/>
      <w:divBdr>
        <w:top w:val="none" w:sz="0" w:space="0" w:color="auto"/>
        <w:left w:val="none" w:sz="0" w:space="0" w:color="auto"/>
        <w:bottom w:val="none" w:sz="0" w:space="0" w:color="auto"/>
        <w:right w:val="none" w:sz="0" w:space="0" w:color="auto"/>
      </w:divBdr>
    </w:div>
    <w:div w:id="1379695718">
      <w:bodyDiv w:val="1"/>
      <w:marLeft w:val="0"/>
      <w:marRight w:val="0"/>
      <w:marTop w:val="0"/>
      <w:marBottom w:val="0"/>
      <w:divBdr>
        <w:top w:val="none" w:sz="0" w:space="0" w:color="auto"/>
        <w:left w:val="none" w:sz="0" w:space="0" w:color="auto"/>
        <w:bottom w:val="none" w:sz="0" w:space="0" w:color="auto"/>
        <w:right w:val="none" w:sz="0" w:space="0" w:color="auto"/>
      </w:divBdr>
    </w:div>
    <w:div w:id="2020353058">
      <w:bodyDiv w:val="1"/>
      <w:marLeft w:val="0"/>
      <w:marRight w:val="0"/>
      <w:marTop w:val="0"/>
      <w:marBottom w:val="0"/>
      <w:divBdr>
        <w:top w:val="none" w:sz="0" w:space="0" w:color="auto"/>
        <w:left w:val="none" w:sz="0" w:space="0" w:color="auto"/>
        <w:bottom w:val="none" w:sz="0" w:space="0" w:color="auto"/>
        <w:right w:val="none" w:sz="0" w:space="0" w:color="auto"/>
      </w:divBdr>
    </w:div>
    <w:div w:id="2094886998">
      <w:bodyDiv w:val="1"/>
      <w:marLeft w:val="0"/>
      <w:marRight w:val="0"/>
      <w:marTop w:val="0"/>
      <w:marBottom w:val="0"/>
      <w:divBdr>
        <w:top w:val="none" w:sz="0" w:space="0" w:color="auto"/>
        <w:left w:val="none" w:sz="0" w:space="0" w:color="auto"/>
        <w:bottom w:val="none" w:sz="0" w:space="0" w:color="auto"/>
        <w:right w:val="none" w:sz="0" w:space="0" w:color="auto"/>
      </w:divBdr>
    </w:div>
    <w:div w:id="211766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yousefi@ut.ac.i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shahbaznezhad@ut.ac.i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dyousefi@ut.ac.ir" TargetMode="External"/><Relationship Id="rId5" Type="http://schemas.openxmlformats.org/officeDocument/2006/relationships/footnotes" Target="footnotes.xml"/><Relationship Id="rId10" Type="http://schemas.openxmlformats.org/officeDocument/2006/relationships/hyperlink" Target="mailto:sdyousefi@ut.ac.ir" TargetMode="External"/><Relationship Id="rId4" Type="http://schemas.openxmlformats.org/officeDocument/2006/relationships/webSettings" Target="webSettings.xml"/><Relationship Id="rId9" Type="http://schemas.openxmlformats.org/officeDocument/2006/relationships/hyperlink" Target="mailto:m.shahbaznezhad@ut.ac.i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Gangsheng</dc:creator>
  <cp:keywords/>
  <dc:description/>
  <cp:lastModifiedBy>Ni-Bin Chang</cp:lastModifiedBy>
  <cp:revision>2</cp:revision>
  <dcterms:created xsi:type="dcterms:W3CDTF">2021-11-06T00:11:00Z</dcterms:created>
  <dcterms:modified xsi:type="dcterms:W3CDTF">2021-11-06T00:11:00Z</dcterms:modified>
</cp:coreProperties>
</file>